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4849"/>
        <w:gridCol w:w="1080"/>
        <w:gridCol w:w="415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49" w:type="dxa"/>
            <w:textDirection w:val="lrTb"/>
            <w:noWrap w:val="false"/>
          </w:tcPr>
          <w:p>
            <w:pPr>
              <w:jc w:val="center"/>
              <w:tabs>
                <w:tab w:val="left" w:pos="4145" w:leader="none"/>
              </w:tabs>
              <w:rPr>
                <w:spacing w:val="70"/>
              </w:rPr>
            </w:pPr>
            <w:r>
              <w:rPr>
                <w:spacing w:val="70"/>
              </w:rPr>
            </w:r>
            <w:r>
              <w:rPr>
                <w:spacing w:val="70"/>
              </w:rPr>
            </w:r>
            <w:r>
              <w:rPr>
                <w:spacing w:val="70"/>
              </w:rPr>
            </w:r>
          </w:p>
          <w:p>
            <w:pPr>
              <w:spacing w:line="360" w:lineRule="auto"/>
              <w:tabs>
                <w:tab w:val="left" w:pos="4145" w:leader="none"/>
              </w:tabs>
              <w:rPr>
                <w:lang w:val="en-US"/>
              </w:rPr>
            </w:pPr>
            <w:r>
              <w:rPr>
                <w:lang w:val="en-US"/>
              </w:rPr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711"/>
              <w:tabs>
                <w:tab w:val="left" w:pos="4145" w:leader="none"/>
              </w:tabs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711"/>
              <w:tabs>
                <w:tab w:val="left" w:pos="4145" w:leader="none"/>
              </w:tabs>
              <w:rPr>
                <w:b/>
                <w:bCs/>
                <w:spacing w:val="20"/>
                <w:sz w:val="24"/>
              </w:rPr>
            </w:pPr>
            <w:r>
              <w:rPr>
                <w:b/>
                <w:bCs/>
                <w:spacing w:val="20"/>
                <w:sz w:val="24"/>
              </w:rPr>
            </w:r>
            <w:r>
              <w:rPr>
                <w:b/>
                <w:bCs/>
                <w:spacing w:val="20"/>
                <w:sz w:val="24"/>
              </w:rPr>
            </w:r>
            <w:r>
              <w:rPr>
                <w:b/>
                <w:bCs/>
                <w:spacing w:val="20"/>
                <w:sz w:val="24"/>
              </w:rPr>
            </w:r>
          </w:p>
          <w:p>
            <w:pPr>
              <w:pStyle w:val="711"/>
              <w:tabs>
                <w:tab w:val="left" w:pos="4145" w:leader="none"/>
              </w:tabs>
              <w:rPr>
                <w:b/>
                <w:bCs/>
                <w:spacing w:val="20"/>
                <w:sz w:val="24"/>
              </w:rPr>
            </w:pPr>
            <w:r>
              <w:rPr>
                <w:b/>
                <w:bCs/>
                <w:spacing w:val="20"/>
                <w:sz w:val="24"/>
              </w:rPr>
              <w:t xml:space="preserve">А Д М И Н И С Т Р А Ц И Я</w:t>
            </w:r>
            <w:r>
              <w:rPr>
                <w:b/>
                <w:bCs/>
                <w:spacing w:val="20"/>
                <w:sz w:val="24"/>
              </w:rPr>
            </w:r>
            <w:r>
              <w:rPr>
                <w:b/>
                <w:bCs/>
                <w:spacing w:val="20"/>
                <w:sz w:val="24"/>
              </w:rPr>
            </w:r>
          </w:p>
          <w:p>
            <w:pPr>
              <w:pStyle w:val="713"/>
              <w:tabs>
                <w:tab w:val="left" w:pos="4145" w:leader="none"/>
              </w:tabs>
              <w:rPr>
                <w:bCs/>
                <w:spacing w:val="20"/>
                <w:szCs w:val="24"/>
              </w:rPr>
            </w:pPr>
            <w:r>
              <w:rPr>
                <w:bCs/>
                <w:spacing w:val="20"/>
                <w:szCs w:val="24"/>
              </w:rPr>
              <w:t xml:space="preserve">АРТЕМОВСКОГО</w:t>
            </w:r>
            <w:r>
              <w:rPr>
                <w:bCs/>
                <w:spacing w:val="20"/>
                <w:szCs w:val="24"/>
              </w:rPr>
            </w:r>
            <w:r>
              <w:rPr>
                <w:bCs/>
                <w:spacing w:val="20"/>
                <w:szCs w:val="24"/>
              </w:rPr>
            </w:r>
          </w:p>
          <w:p>
            <w:pPr>
              <w:pStyle w:val="713"/>
              <w:tabs>
                <w:tab w:val="left" w:pos="4145" w:leader="none"/>
              </w:tabs>
              <w:rPr>
                <w:bCs/>
                <w:spacing w:val="20"/>
                <w:szCs w:val="24"/>
              </w:rPr>
            </w:pPr>
            <w:r>
              <w:rPr>
                <w:bCs/>
                <w:spacing w:val="20"/>
                <w:szCs w:val="24"/>
              </w:rPr>
              <w:t xml:space="preserve">ГОРОДСКОГО   ОКРУГА </w:t>
            </w:r>
            <w:r>
              <w:rPr>
                <w:bCs/>
                <w:spacing w:val="20"/>
                <w:szCs w:val="24"/>
              </w:rPr>
            </w:r>
            <w:r>
              <w:rPr>
                <w:bCs/>
                <w:spacing w:val="20"/>
                <w:szCs w:val="24"/>
              </w:rPr>
            </w:r>
          </w:p>
          <w:p>
            <w:pPr>
              <w:jc w:val="center"/>
              <w:tabs>
                <w:tab w:val="left" w:pos="4145" w:leader="none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  <w:p>
            <w:pPr>
              <w:jc w:val="center"/>
              <w:tabs>
                <w:tab w:val="left" w:pos="4145" w:leader="none"/>
              </w:tabs>
              <w:rPr>
                <w:sz w:val="18"/>
              </w:rPr>
            </w:pPr>
            <w:r>
              <w:rPr>
                <w:sz w:val="18"/>
              </w:rPr>
              <w:t xml:space="preserve">ул. Кирова, 48, г. Артем, 692760</w:t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  <w:p>
            <w:pPr>
              <w:jc w:val="center"/>
              <w:tabs>
                <w:tab w:val="left" w:pos="4145" w:leader="none"/>
              </w:tabs>
              <w:rPr>
                <w:sz w:val="18"/>
              </w:rPr>
            </w:pPr>
            <w:r>
              <w:rPr>
                <w:sz w:val="18"/>
              </w:rPr>
              <w:t xml:space="preserve">тел. +7 (42337) 432-13, факс +7 (42337) 432-13,</w:t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  <w:p>
            <w:pPr>
              <w:jc w:val="center"/>
              <w:spacing w:line="360" w:lineRule="auto"/>
              <w:tabs>
                <w:tab w:val="left" w:pos="4145" w:leader="none"/>
              </w:tabs>
              <w:rPr>
                <w:sz w:val="20"/>
              </w:rPr>
            </w:pPr>
            <w:r>
              <w:rPr>
                <w:sz w:val="18"/>
                <w:lang w:val="en-US"/>
              </w:rPr>
              <w:t xml:space="preserve">E</w:t>
            </w:r>
            <w:r>
              <w:rPr>
                <w:sz w:val="18"/>
              </w:rPr>
              <w:t xml:space="preserve">-</w:t>
            </w:r>
            <w:r>
              <w:rPr>
                <w:sz w:val="18"/>
                <w:lang w:val="en-US"/>
              </w:rPr>
              <w:t xml:space="preserve">mail</w:t>
            </w:r>
            <w:r>
              <w:rPr>
                <w:sz w:val="18"/>
              </w:rPr>
              <w:t xml:space="preserve">: </w:t>
            </w:r>
            <w:hyperlink r:id="rId10" w:tooltip="mailto:admartm@mail.primorye.ru" w:history="1">
              <w:r>
                <w:rPr>
                  <w:rStyle w:val="873"/>
                  <w:sz w:val="18"/>
                  <w:lang w:val="en-US"/>
                </w:rPr>
                <w:t xml:space="preserve">admartm</w:t>
              </w:r>
              <w:r>
                <w:rPr>
                  <w:rStyle w:val="873"/>
                  <w:sz w:val="18"/>
                </w:rPr>
                <w:t xml:space="preserve">@</w:t>
              </w:r>
              <w:r>
                <w:rPr>
                  <w:rStyle w:val="873"/>
                  <w:sz w:val="18"/>
                  <w:lang w:val="en-US"/>
                </w:rPr>
                <w:t xml:space="preserve">mail</w:t>
              </w:r>
              <w:r>
                <w:rPr>
                  <w:rStyle w:val="873"/>
                  <w:sz w:val="18"/>
                </w:rPr>
                <w:t xml:space="preserve">.</w:t>
              </w:r>
              <w:r>
                <w:rPr>
                  <w:rStyle w:val="873"/>
                  <w:sz w:val="18"/>
                  <w:lang w:val="en-US"/>
                </w:rPr>
                <w:t xml:space="preserve">primorye</w:t>
              </w:r>
              <w:r>
                <w:rPr>
                  <w:rStyle w:val="873"/>
                  <w:sz w:val="18"/>
                </w:rPr>
                <w:t xml:space="preserve">.</w:t>
              </w:r>
              <w:r>
                <w:rPr>
                  <w:rStyle w:val="873"/>
                  <w:sz w:val="18"/>
                  <w:lang w:val="en-US"/>
                </w:rPr>
                <w:t xml:space="preserve">ru</w:t>
              </w:r>
            </w:hyperlink>
            <w:r>
              <w:rPr>
                <w:sz w:val="20"/>
              </w:rPr>
            </w:r>
            <w:r>
              <w:rPr>
                <w:sz w:val="20"/>
              </w:rPr>
            </w:r>
          </w:p>
          <w:p>
            <w:pPr>
              <w:jc w:val="center"/>
              <w:spacing w:line="360" w:lineRule="auto"/>
              <w:tabs>
                <w:tab w:val="left" w:pos="4145" w:leader="none"/>
              </w:tabs>
            </w:pPr>
            <w:r>
              <w:t xml:space="preserve">_________________ № _____________</w:t>
            </w:r>
            <w:r/>
          </w:p>
          <w:p>
            <w:pPr>
              <w:pStyle w:val="710"/>
              <w:spacing w:line="360" w:lineRule="auto"/>
              <w:tabs>
                <w:tab w:val="left" w:pos="4145" w:leader="none"/>
              </w:tabs>
              <w:rPr>
                <w:b w:val="0"/>
                <w:bCs/>
                <w:sz w:val="24"/>
              </w:rPr>
            </w:pPr>
            <w:r>
              <w:rPr>
                <w:b w:val="0"/>
                <w:bCs/>
                <w:sz w:val="24"/>
              </w:rPr>
              <w:t xml:space="preserve">На № ___________ от _____________</w:t>
            </w:r>
            <w:r>
              <w:rPr>
                <w:b w:val="0"/>
                <w:bCs/>
                <w:sz w:val="24"/>
              </w:rPr>
            </w:r>
            <w:r>
              <w:rPr>
                <w:b w:val="0"/>
                <w:bCs/>
                <w:sz w:val="24"/>
              </w:rPr>
            </w:r>
          </w:p>
          <w:p>
            <w:pPr>
              <w:tabs>
                <w:tab w:val="left" w:pos="4145" w:leader="none"/>
              </w:tabs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08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151" w:type="dxa"/>
            <w:textDirection w:val="lrTb"/>
            <w:noWrap w:val="false"/>
          </w:tcPr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pPr>
              <w:jc w:val="center"/>
            </w:pPr>
            <w:r/>
            <w:r/>
          </w:p>
          <w:p>
            <w:r>
              <w:t xml:space="preserve">В Думу Артемовского городского округа</w:t>
            </w:r>
            <w:r/>
          </w:p>
          <w:p>
            <w:pPr>
              <w:jc w:val="center"/>
            </w:pPr>
            <w:r/>
            <w:r/>
          </w:p>
        </w:tc>
      </w:tr>
    </w:tbl>
    <w:p>
      <w:r/>
      <w:r/>
    </w:p>
    <w:p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1" allowOverlap="1">
                <wp:simplePos x="0" y="0"/>
                <wp:positionH relativeFrom="column">
                  <wp:posOffset>887730</wp:posOffset>
                </wp:positionH>
                <wp:positionV relativeFrom="page">
                  <wp:posOffset>405765</wp:posOffset>
                </wp:positionV>
                <wp:extent cx="596265" cy="742950"/>
                <wp:effectExtent l="0" t="0" r="0" b="0"/>
                <wp:wrapNone/>
                <wp:docPr id="1" name="_x0000_s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9626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524288;o:allowoverlap:true;o:allowincell:true;mso-position-horizontal-relative:text;margin-left:69.90pt;mso-position-horizontal:absolute;mso-position-vertical-relative:page;margin-top:31.95pt;mso-position-vertical:absolute;width:46.95pt;height:58.50pt;mso-wrap-distance-left:9.00pt;mso-wrap-distance-top:0.00pt;mso-wrap-distance-right:9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/>
    </w:p>
    <w:p>
      <w:pPr>
        <w:jc w:val="center"/>
        <w:rPr>
          <w:b/>
        </w:rPr>
      </w:pPr>
      <w:r>
        <w:rPr>
          <w:b/>
        </w:rPr>
        <w:t xml:space="preserve">ПОЯСНИТЕЛЬНАЯ ЗАПИСКА</w:t>
      </w:r>
      <w:r>
        <w:rPr>
          <w:b/>
        </w:rPr>
      </w:r>
      <w:r>
        <w:rPr>
          <w:b/>
        </w:rPr>
      </w:r>
    </w:p>
    <w:p>
      <w:pPr>
        <w:jc w:val="center"/>
      </w:pPr>
      <w:r>
        <w:t xml:space="preserve">к проекту решения Думы Артемовского городского округа</w:t>
      </w:r>
      <w:r/>
    </w:p>
    <w:p>
      <w:pPr>
        <w:jc w:val="center"/>
      </w:pPr>
      <w:r>
        <w:t xml:space="preserve">«Об утверждении размера средней рыночной стоимости одного квадратного метра общей площади жилого помещения на территории Артемовского городского округа на 2026 год»</w:t>
      </w:r>
      <w:r/>
    </w:p>
    <w:p>
      <w:pPr>
        <w:ind w:firstLine="567"/>
        <w:jc w:val="both"/>
      </w:pPr>
      <w:r/>
      <w:r/>
    </w:p>
    <w:p>
      <w:pPr>
        <w:ind w:firstLine="567"/>
        <w:jc w:val="both"/>
      </w:pPr>
      <w:r/>
      <w:r/>
    </w:p>
    <w:p>
      <w:pPr>
        <w:ind w:firstLine="708"/>
        <w:jc w:val="both"/>
        <w:spacing w:line="360" w:lineRule="auto"/>
      </w:pPr>
      <w:r>
        <w:t xml:space="preserve">В целях реализации Закона Приморского края от 06.12.2018 № 412-КЗ «О наделении органов местного самоуправления муниципальных и городских округов Приморс</w:t>
      </w:r>
      <w:r>
        <w:t xml:space="preserve">кого края отдельными государственными полномочиями по обеспечению детей-сирот, детей, оставшихся без попечения родителей, лиц из числа детей-сирот и детей, оставшихся без попечения родителей, жилыми помещениями» (далее - Закон № 412-КЗ), Закона Приморского</w:t>
      </w:r>
      <w:r>
        <w:t xml:space="preserve"> края от 24.12.2018 № 433-КЗ «Об обеспечении жилыми помещениями детей-сирот, детей, оставшихся без попечения родителей, лиц из числа детей-сирот и детей, оставшихся без попечения родителей, на территории Приморского края» (далее - Закон         № 433-КЗ), </w:t>
      </w:r>
      <w:r>
        <w:rPr>
          <w:b/>
        </w:rPr>
        <w:t xml:space="preserve">органами местного самоуправления Приморского края устанавливается средняя рыночная стоимость одного квадратного метра общей площади жилого помещения</w:t>
      </w:r>
      <w:r>
        <w:t xml:space="preserve">, приобретаемого для включения в специализированный муниципального жилищный фонд, формируемый для предоставления жилых помещений данного фонда детям-сиротам, детям, оставшимся без попечения родителей, лицам из числа </w:t>
      </w:r>
      <w:r>
        <w:t xml:space="preserve">детей-сирот и детей, оставшихся без попечения родителей, а также лицам, которые относились к категории детей-сирот, детей, оставшихся без попечения родителей, лиц из числа детей-сирот и детей, оставшихся без попечения родителей, и достигли возраста 23 лет.</w:t>
      </w:r>
      <w:r/>
    </w:p>
    <w:p>
      <w:pPr>
        <w:ind w:firstLine="708"/>
        <w:jc w:val="both"/>
        <w:spacing w:line="360" w:lineRule="auto"/>
      </w:pPr>
      <w:r>
        <w:t xml:space="preserve">По результатам независимой оценки рыночной стоимости объектов недвижимости </w:t>
      </w:r>
      <w:r>
        <w:rPr>
          <w:highlight w:val="white"/>
        </w:rPr>
        <w:t xml:space="preserve">(</w:t>
      </w:r>
      <w:r>
        <w:rPr>
          <w:highlight w:val="none"/>
        </w:rPr>
        <w:t xml:space="preserve">муниципальный контракт от 06</w:t>
      </w:r>
      <w:r>
        <w:rPr>
          <w:highlight w:val="none"/>
        </w:rPr>
        <w:t xml:space="preserve">.10.202</w:t>
      </w:r>
      <w:r>
        <w:rPr>
          <w:highlight w:val="none"/>
          <w:lang w:val="en-US"/>
        </w:rPr>
        <w:t xml:space="preserve">4</w:t>
      </w:r>
      <w:r>
        <w:rPr>
          <w:highlight w:val="none"/>
        </w:rPr>
        <w:t xml:space="preserve"> № </w:t>
      </w:r>
      <w:r>
        <w:rPr>
          <w:highlight w:val="none"/>
        </w:rPr>
        <w:t xml:space="preserve">119</w:t>
      </w:r>
      <w:r>
        <w:rPr>
          <w:highlight w:val="none"/>
        </w:rPr>
        <w:t xml:space="preserve">-МК</w:t>
      </w:r>
      <w:r>
        <w:rPr>
          <w:highlight w:val="white"/>
        </w:rPr>
        <w:t xml:space="preserve">)</w:t>
      </w:r>
      <w:r>
        <w:t xml:space="preserve"> средняя рыночная стоимость одного квадратного метра общей площади жилого помещения на 2026 год составила:</w:t>
      </w:r>
      <w:r/>
    </w:p>
    <w:p>
      <w:pPr>
        <w:ind w:firstLine="708"/>
        <w:jc w:val="both"/>
        <w:spacing w:line="360" w:lineRule="auto"/>
      </w:pPr>
      <w:r>
        <w:t xml:space="preserve">1. Приобретаемого для включения в специализированный жилищный фонд, в отношении установленных Законом № 433-КЗ категорий жилых домов и квартир:</w:t>
      </w:r>
      <w:r/>
    </w:p>
    <w:p>
      <w:pPr>
        <w:ind w:firstLine="709"/>
        <w:jc w:val="both"/>
        <w:spacing w:line="362" w:lineRule="auto"/>
        <w:widowControl w:val="off"/>
        <w:rPr>
          <w:color w:val="000000"/>
        </w:rPr>
      </w:pPr>
      <w:r>
        <w:rPr>
          <w:color w:val="000000"/>
        </w:rPr>
        <w:t xml:space="preserve">1.1. В отношении жилых домов и квартир (за исключением квартир в многоквартирных домах, со дня выдачи разрешения на ввод в эксплуатацию которых и до размещения извещения о проведении закупок прошло не более пяти лет), расположенных:</w:t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jc w:val="both"/>
        <w:spacing w:line="362" w:lineRule="auto"/>
        <w:rPr>
          <w:color w:val="000000"/>
        </w:rPr>
      </w:pPr>
      <w:r>
        <w:rPr>
          <w:color w:val="000000"/>
        </w:rPr>
        <w:t xml:space="preserve">в административном центре городского округа (г. Артем) </w:t>
      </w:r>
      <w:r>
        <w:rPr>
          <w:rStyle w:val="898"/>
          <w:color w:val="000000"/>
        </w:rPr>
        <w:t xml:space="preserve">по улицам: Александрова, Барнаульской, Бикинской, Братской, Бур</w:t>
      </w:r>
      <w:r>
        <w:rPr>
          <w:rStyle w:val="898"/>
          <w:color w:val="000000"/>
        </w:rPr>
        <w:t xml:space="preserve">денко, Веденеева, Верхней, Ворошилова, Володарского, Волхова, Днепростроевской, Добровольского, Каширской, Кржижановского, Ладыгина, Лучегорской, Майхинское Шоссе, Ново-Московской,  Пархоменко, Перова, Петрова, Родниковой, Суворова, Яблочкина, Степановской</w:t>
      </w:r>
      <w:r>
        <w:rPr>
          <w:color w:val="000000"/>
        </w:rPr>
        <w:t xml:space="preserve"> – в размере </w:t>
      </w:r>
      <w:r>
        <w:rPr>
          <w:color w:val="000000"/>
          <w:lang w:val="en-US"/>
        </w:rPr>
        <w:t xml:space="preserve">1</w:t>
      </w:r>
      <w:r>
        <w:rPr>
          <w:color w:val="000000"/>
          <w:lang w:val="en-US"/>
        </w:rPr>
        <w:t xml:space="preserve">3</w:t>
      </w:r>
      <w:r>
        <w:rPr>
          <w:color w:val="000000"/>
          <w:lang w:val="en-US"/>
        </w:rPr>
        <w:t xml:space="preserve">2</w:t>
      </w:r>
      <w:r>
        <w:rPr>
          <w:color w:val="000000"/>
          <w:lang w:val="en-US"/>
        </w:rPr>
        <w:t xml:space="preserve"> 000 (</w:t>
      </w:r>
      <w:r>
        <w:rPr>
          <w:color w:val="000000"/>
          <w:lang w:val="ru-RU"/>
        </w:rPr>
        <w:t xml:space="preserve">сто тридцать две тысячи)</w:t>
      </w:r>
      <w:r>
        <w:rPr>
          <w:color w:val="000000"/>
        </w:rPr>
        <w:t xml:space="preserve"> рублей;</w:t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jc w:val="both"/>
        <w:spacing w:line="362" w:lineRule="auto"/>
        <w:rPr>
          <w:color w:val="000000"/>
        </w:rPr>
      </w:pPr>
      <w:r>
        <w:rPr>
          <w:rStyle w:val="898"/>
          <w:color w:val="000000"/>
        </w:rPr>
        <w:t xml:space="preserve">по пер. 2-му Уральскому, пер. Бархатному, пер. Факельному, улицам 70 лет Октя</w:t>
      </w:r>
      <w:r>
        <w:rPr>
          <w:rStyle w:val="898"/>
          <w:color w:val="000000"/>
        </w:rPr>
        <w:t xml:space="preserve">бря, Бархатной, Березовой, Загородной, Кедровой, Ленина, Ленинградской, Лучевой, Михайловской, Московской, Охотничьей, Раздольной, Стрельникова, Теневой, Уральской, Харьковской, Цветочной (ранее Обрядовая), Челябинской, Черемуховой, Черноморской, Ясеневой </w:t>
      </w:r>
      <w:r>
        <w:rPr>
          <w:color w:val="000000"/>
        </w:rPr>
        <w:t xml:space="preserve">– в размере </w:t>
      </w:r>
      <w:r>
        <w:rPr>
          <w:color w:val="000000"/>
        </w:rPr>
        <w:t xml:space="preserve">113 000 (сто тринадцать тысяч)</w:t>
      </w:r>
      <w:r>
        <w:rPr>
          <w:color w:val="000000"/>
        </w:rPr>
        <w:t xml:space="preserve"> рублей;</w:t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jc w:val="both"/>
        <w:spacing w:line="362" w:lineRule="auto"/>
        <w:rPr>
          <w:color w:val="000000"/>
        </w:rPr>
      </w:pPr>
      <w:r>
        <w:rPr>
          <w:rStyle w:val="898"/>
          <w:color w:val="000000"/>
        </w:rPr>
        <w:t xml:space="preserve">в административном центре Артемовского городского округа (г. Артем), за исключением пер. 2-го Уральского, пер. Бархатного, пер. Факельного, ул. 70 лет Октября, Александрова, Барнаульской, Бархатной, Березовой</w:t>
      </w:r>
      <w:r>
        <w:rPr>
          <w:rStyle w:val="898"/>
          <w:color w:val="000000"/>
        </w:rPr>
        <w:t xml:space="preserve">, Бикинской, Братской, Бурденко, Веденеева, Верхней, Володарского, Волхова, Ворошилова, Днепростроевской, Добровольского, Загородной, Каширской, Кедровой, Кржижановского, Ладыгина, Ленина, Ленинградской, Лучевой, Лучегорской, Майхинское Шоссе, Михайловской</w:t>
      </w:r>
      <w:r>
        <w:rPr>
          <w:rStyle w:val="898"/>
          <w:color w:val="000000"/>
        </w:rPr>
        <w:t xml:space="preserve">, Московской, Ново-Московской, Охотничьей, Пархоменко, Перова, Петрова, Раздольной, Родниковой, Степановской, Стрельникова, Суворова, Теневой, Уральской, Харьковской, Цветочной (ранее Обрядовая), Челябинской, Черемуховой, Черноморской, Яблочкина, Ясеневой </w:t>
      </w:r>
      <w:r>
        <w:rPr>
          <w:color w:val="000000"/>
        </w:rPr>
        <w:t xml:space="preserve">– в размере </w:t>
      </w:r>
      <w:r>
        <w:rPr>
          <w:color w:val="000000"/>
        </w:rPr>
        <w:t xml:space="preserve">150</w:t>
      </w:r>
      <w:r>
        <w:rPr>
          <w:color w:val="000000"/>
          <w:highlight w:val="white"/>
        </w:rPr>
        <w:t xml:space="preserve"> 000 (сто пятьдесят тысяч)</w:t>
      </w:r>
      <w:r>
        <w:rPr>
          <w:color w:val="000000"/>
        </w:rPr>
        <w:t xml:space="preserve"> рублей;</w:t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jc w:val="both"/>
        <w:spacing w:line="362" w:lineRule="auto"/>
        <w:rPr>
          <w:color w:val="000000"/>
        </w:rPr>
      </w:pPr>
      <w:r>
        <w:rPr>
          <w:color w:val="000000"/>
        </w:rPr>
        <w:t xml:space="preserve">на территории городского округа, за исключением его административного центра            (с. Кневичи, Кролевцы, Олений, Суражевка, Ясное) – в размере </w:t>
      </w:r>
      <w:r>
        <w:rPr>
          <w:color w:val="000000"/>
          <w:highlight w:val="none"/>
        </w:rPr>
        <w:t xml:space="preserve">141 000 (сто сорок одна тысяча)</w:t>
      </w:r>
      <w:r>
        <w:rPr>
          <w:color w:val="000000"/>
        </w:rPr>
        <w:t xml:space="preserve"> рублей.</w:t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jc w:val="both"/>
        <w:spacing w:line="360" w:lineRule="auto"/>
      </w:pPr>
      <w:r>
        <w:rPr>
          <w:color w:val="000000"/>
        </w:rPr>
        <w:t xml:space="preserve">1.2. </w:t>
      </w:r>
      <w:r>
        <w:t xml:space="preserve">В отношении квартир в многоквартирных домах, со дня выдачи разрешения на ввод в эксплуатацию которых и до размещения извещения о проведении закупок прошло не более пяти лет, расположенных:</w:t>
      </w:r>
      <w:r/>
    </w:p>
    <w:p>
      <w:pPr>
        <w:ind w:firstLine="709"/>
        <w:jc w:val="both"/>
        <w:spacing w:line="360" w:lineRule="auto"/>
      </w:pPr>
      <w:r>
        <w:t xml:space="preserve">в административном центре городского округа (г. Артем) – </w:t>
      </w:r>
      <w:r>
        <w:rPr>
          <w:color w:val="000000"/>
          <w:highlight w:val="none"/>
        </w:rPr>
        <w:t xml:space="preserve">185 000</w:t>
      </w:r>
      <w:r>
        <w:rPr>
          <w:color w:val="000000"/>
          <w:highlight w:val="white"/>
        </w:rPr>
        <w:t xml:space="preserve"> (сто восемьдесят пять тысяч)</w:t>
      </w:r>
      <w:r>
        <w:rPr>
          <w:color w:val="000000"/>
        </w:rPr>
        <w:t xml:space="preserve"> рубля</w:t>
      </w:r>
      <w:r>
        <w:t xml:space="preserve">;</w:t>
      </w:r>
      <w:r/>
    </w:p>
    <w:p>
      <w:pPr>
        <w:ind w:firstLine="709"/>
        <w:jc w:val="both"/>
        <w:spacing w:line="362" w:lineRule="auto"/>
        <w:rPr>
          <w:color w:val="000000"/>
        </w:rPr>
      </w:pPr>
      <w:r>
        <w:rPr>
          <w:color w:val="000000"/>
        </w:rPr>
        <w:t xml:space="preserve">на территории городского округа, за исключением его административного центра            (с. Кневичи, Кролевцы, Олений, Суражевка, Ясное) – в размере </w:t>
      </w:r>
      <w:r>
        <w:rPr>
          <w:color w:val="000000"/>
          <w:highlight w:val="none"/>
        </w:rPr>
        <w:t xml:space="preserve">144 000</w:t>
      </w:r>
      <w:r>
        <w:rPr>
          <w:color w:val="000000"/>
          <w:highlight w:val="white"/>
        </w:rPr>
        <w:t xml:space="preserve"> (сто сорок четыре тысячи)</w:t>
      </w:r>
      <w:r>
        <w:rPr>
          <w:color w:val="000000"/>
        </w:rPr>
        <w:t xml:space="preserve"> рублей.</w:t>
      </w:r>
      <w:r>
        <w:rPr>
          <w:color w:val="000000"/>
        </w:rPr>
      </w:r>
      <w:r>
        <w:rPr>
          <w:color w:val="000000"/>
        </w:rPr>
      </w:r>
    </w:p>
    <w:p>
      <w:pPr>
        <w:ind w:firstLine="709"/>
        <w:jc w:val="both"/>
        <w:spacing w:line="362" w:lineRule="auto"/>
        <w:widowControl w:val="off"/>
        <w:rPr>
          <w:color w:val="000000"/>
        </w:rPr>
      </w:pPr>
      <w:r>
        <w:rPr>
          <w:color w:val="000000"/>
        </w:rPr>
        <w:t xml:space="preserve">2. </w:t>
      </w:r>
      <w:r>
        <w:rPr>
          <w:color w:val="000000"/>
        </w:rPr>
        <w:t xml:space="preserve">Установить среднюю рыночную стоимость одного квадратного метра общей </w:t>
      </w:r>
      <w:r>
        <w:rPr>
          <w:color w:val="000000"/>
        </w:rPr>
        <w:t xml:space="preserve">площади жилого помещения на территории Артемовского городского округа в целях предоставления социальной выплаты</w:t>
      </w:r>
      <w:r>
        <w:t xml:space="preserve"> </w:t>
      </w:r>
      <w:r>
        <w:t xml:space="preserve">на приобретение благоустроенного жилого помещения в собственность</w:t>
      </w:r>
      <w:r>
        <w:rPr>
          <w:color w:val="000000"/>
        </w:rPr>
        <w:t xml:space="preserve"> </w:t>
      </w:r>
      <w:r>
        <w:t xml:space="preserve">в виде именного свидетельства</w:t>
      </w:r>
      <w:r>
        <w:rPr>
          <w:color w:val="000000"/>
        </w:rPr>
        <w:t xml:space="preserve"> на </w:t>
      </w:r>
      <w:r>
        <w:rPr>
          <w:color w:val="000000"/>
        </w:rPr>
        <w:t xml:space="preserve">2026</w:t>
      </w:r>
      <w:r>
        <w:rPr>
          <w:color w:val="000000"/>
        </w:rPr>
        <w:t xml:space="preserve"> год - в размере </w:t>
      </w:r>
      <w:r>
        <w:rPr>
          <w:color w:val="000000"/>
          <w:highlight w:val="none"/>
        </w:rPr>
        <w:t xml:space="preserve">149 000</w:t>
      </w:r>
      <w:r>
        <w:rPr>
          <w:color w:val="000000"/>
          <w:highlight w:val="white"/>
        </w:rPr>
        <w:t xml:space="preserve"> (сто сорок девять тысяч)</w:t>
      </w:r>
      <w:r>
        <w:rPr>
          <w:color w:val="000000"/>
        </w:rPr>
        <w:t xml:space="preserve"> рублей.</w:t>
      </w:r>
      <w:r>
        <w:rPr>
          <w:color w:val="000000"/>
        </w:rPr>
      </w:r>
      <w:r>
        <w:rPr>
          <w:color w:val="000000"/>
        </w:rPr>
      </w:r>
    </w:p>
    <w:p>
      <w:pPr>
        <w:ind w:firstLine="567"/>
        <w:jc w:val="both"/>
        <w:spacing w:line="362" w:lineRule="auto"/>
      </w:pPr>
      <w:r/>
      <w:r/>
    </w:p>
    <w:p>
      <w:pPr>
        <w:ind w:firstLine="708"/>
        <w:jc w:val="both"/>
      </w:pPr>
      <w:r/>
      <w:r/>
    </w:p>
    <w:p>
      <w:pPr>
        <w:pStyle w:val="891"/>
      </w:pPr>
      <w:r/>
      <w:r/>
    </w:p>
    <w:p>
      <w:pPr>
        <w:pStyle w:val="891"/>
        <w:ind w:firstLine="0"/>
        <w:spacing w:line="240" w:lineRule="auto"/>
      </w:pPr>
      <w:r>
        <w:t xml:space="preserve">Начальник управления жилищной политики </w:t>
      </w:r>
      <w:r/>
    </w:p>
    <w:p>
      <w:pPr>
        <w:pStyle w:val="891"/>
        <w:ind w:firstLine="0"/>
        <w:spacing w:line="240" w:lineRule="auto"/>
      </w:pPr>
      <w:r>
        <w:t xml:space="preserve">администрации Артемовского </w:t>
      </w:r>
      <w:r/>
    </w:p>
    <w:p>
      <w:pPr>
        <w:pStyle w:val="891"/>
        <w:ind w:firstLine="0"/>
        <w:spacing w:line="240" w:lineRule="auto"/>
      </w:pPr>
      <w:r>
        <w:t xml:space="preserve">городского округа                                            </w:t>
      </w:r>
      <w:r>
        <w:t xml:space="preserve">                                                        </w:t>
      </w:r>
      <w:bookmarkStart w:id="0" w:name="_GoBack"/>
      <w:r/>
      <w:bookmarkEnd w:id="0"/>
      <w:r>
        <w:t xml:space="preserve">Д.В. Далишнева</w:t>
      </w:r>
      <w:r/>
    </w:p>
    <w:p>
      <w:pPr>
        <w:pStyle w:val="891"/>
        <w:ind w:firstLine="0"/>
        <w:spacing w:line="240" w:lineRule="auto"/>
      </w:pPr>
      <w:r/>
      <w:r/>
    </w:p>
    <w:p>
      <w:pPr>
        <w:pStyle w:val="891"/>
        <w:ind w:firstLine="0"/>
        <w:spacing w:line="240" w:lineRule="auto"/>
      </w:pPr>
      <w:r/>
      <w:r/>
    </w:p>
    <w:p>
      <w:pPr>
        <w:pStyle w:val="891"/>
        <w:ind w:firstLine="0"/>
        <w:spacing w:line="240" w:lineRule="auto"/>
      </w:pPr>
      <w:r/>
      <w:r/>
    </w:p>
    <w:p>
      <w:pPr>
        <w:pStyle w:val="891"/>
        <w:ind w:firstLine="0"/>
        <w:spacing w:line="240" w:lineRule="auto"/>
      </w:pPr>
      <w:r/>
      <w:r/>
    </w:p>
    <w:p>
      <w:pPr>
        <w:pStyle w:val="891"/>
        <w:ind w:firstLine="0"/>
        <w:spacing w:line="240" w:lineRule="auto"/>
      </w:pPr>
      <w:r/>
      <w:r/>
    </w:p>
    <w:p>
      <w:pPr>
        <w:pStyle w:val="891"/>
        <w:ind w:firstLine="0"/>
        <w:spacing w:line="240" w:lineRule="auto"/>
      </w:pPr>
      <w:r/>
      <w:r/>
    </w:p>
    <w:p>
      <w:pPr>
        <w:pStyle w:val="891"/>
        <w:ind w:firstLine="0"/>
        <w:spacing w:line="240" w:lineRule="auto"/>
        <w:rPr>
          <w:sz w:val="20"/>
          <w:szCs w:val="20"/>
          <w:highlight w:val="none"/>
        </w:rPr>
      </w:pPr>
      <w:r>
        <w:rPr>
          <w:sz w:val="20"/>
          <w:szCs w:val="20"/>
        </w:rPr>
      </w:r>
      <w:r>
        <w:rPr>
          <w:sz w:val="20"/>
          <w:szCs w:val="20"/>
          <w:highlight w:val="none"/>
        </w:rPr>
      </w:r>
      <w:r>
        <w:rPr>
          <w:sz w:val="20"/>
          <w:szCs w:val="20"/>
          <w:highlight w:val="none"/>
        </w:rPr>
      </w:r>
    </w:p>
    <w:p>
      <w:pPr>
        <w:pStyle w:val="891"/>
        <w:ind w:firstLine="0"/>
        <w:spacing w:line="240" w:lineRule="auto"/>
      </w:pPr>
      <w:r>
        <w:rPr>
          <w:sz w:val="20"/>
          <w:szCs w:val="20"/>
          <w:highlight w:val="none"/>
        </w:rPr>
        <w:t xml:space="preserve">Машукова В.В.</w:t>
      </w:r>
      <w:r>
        <w:rPr>
          <w:highlight w:val="none"/>
        </w:rPr>
      </w:r>
      <w:r/>
    </w:p>
    <w:p>
      <w:pPr>
        <w:pStyle w:val="891"/>
        <w:ind w:firstLine="0"/>
        <w:spacing w:line="240" w:lineRule="auto"/>
        <w:rPr>
          <w:sz w:val="20"/>
        </w:rPr>
      </w:pPr>
      <w:r>
        <w:rPr>
          <w:sz w:val="20"/>
        </w:rPr>
        <w:t xml:space="preserve">4-24-66</w:t>
      </w:r>
      <w:r>
        <w:rPr>
          <w:sz w:val="20"/>
        </w:rPr>
      </w:r>
      <w:r>
        <w:rPr>
          <w:sz w:val="20"/>
        </w:rPr>
      </w:r>
    </w:p>
    <w:sectPr>
      <w:headerReference w:type="default" r:id="rId8"/>
      <w:headerReference w:type="even" r:id="rId9"/>
      <w:footnotePr/>
      <w:endnotePr/>
      <w:type w:val="nextPage"/>
      <w:pgSz w:w="11906" w:h="16838" w:orient="portrait"/>
      <w:pgMar w:top="567" w:right="567" w:bottom="1247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1"/>
      <w:rPr>
        <w:rStyle w:val="893"/>
      </w:rPr>
      <w:framePr w:wrap="around" w:vAnchor="text" w:hAnchor="margin" w:xAlign="center" w:y="1"/>
    </w:pPr>
    <w:r>
      <w:rPr>
        <w:rStyle w:val="893"/>
      </w:rPr>
      <w:fldChar w:fldCharType="begin"/>
    </w:r>
    <w:r>
      <w:rPr>
        <w:rStyle w:val="893"/>
      </w:rPr>
      <w:instrText xml:space="preserve">PAGE  </w:instrText>
    </w:r>
    <w:r>
      <w:rPr>
        <w:rStyle w:val="893"/>
      </w:rPr>
      <w:fldChar w:fldCharType="separate"/>
    </w:r>
    <w:r>
      <w:rPr>
        <w:rStyle w:val="893"/>
      </w:rPr>
      <w:t xml:space="preserve">2</w:t>
    </w:r>
    <w:r>
      <w:rPr>
        <w:rStyle w:val="893"/>
      </w:rPr>
      <w:fldChar w:fldCharType="end"/>
    </w:r>
    <w:r>
      <w:rPr>
        <w:rStyle w:val="893"/>
      </w:rPr>
    </w:r>
    <w:r>
      <w:rPr>
        <w:rStyle w:val="893"/>
      </w:rPr>
    </w:r>
  </w:p>
  <w:p>
    <w:pPr>
      <w:pStyle w:val="74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1"/>
      <w:rPr>
        <w:rStyle w:val="893"/>
      </w:rPr>
      <w:framePr w:wrap="around" w:vAnchor="text" w:hAnchor="margin" w:xAlign="center" w:y="1"/>
    </w:pPr>
    <w:r>
      <w:rPr>
        <w:rStyle w:val="893"/>
      </w:rPr>
      <w:fldChar w:fldCharType="begin"/>
    </w:r>
    <w:r>
      <w:rPr>
        <w:rStyle w:val="893"/>
      </w:rPr>
      <w:instrText xml:space="preserve">PAGE  </w:instrText>
    </w:r>
    <w:r>
      <w:rPr>
        <w:rStyle w:val="893"/>
      </w:rPr>
      <w:fldChar w:fldCharType="end"/>
    </w:r>
    <w:r>
      <w:rPr>
        <w:rStyle w:val="893"/>
      </w:rPr>
    </w:r>
    <w:r>
      <w:rPr>
        <w:rStyle w:val="893"/>
      </w:rPr>
    </w:r>
  </w:p>
  <w:p>
    <w:pPr>
      <w:pStyle w:val="741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2">
    <w:name w:val="Heading 1 Char"/>
    <w:basedOn w:val="719"/>
    <w:link w:val="710"/>
    <w:uiPriority w:val="9"/>
    <w:rPr>
      <w:rFonts w:ascii="Arial" w:hAnsi="Arial" w:eastAsia="Arial" w:cs="Arial"/>
      <w:sz w:val="40"/>
      <w:szCs w:val="40"/>
    </w:rPr>
  </w:style>
  <w:style w:type="character" w:styleId="693">
    <w:name w:val="Heading 2 Char"/>
    <w:basedOn w:val="719"/>
    <w:link w:val="711"/>
    <w:uiPriority w:val="9"/>
    <w:rPr>
      <w:rFonts w:ascii="Arial" w:hAnsi="Arial" w:eastAsia="Arial" w:cs="Arial"/>
      <w:sz w:val="34"/>
    </w:rPr>
  </w:style>
  <w:style w:type="character" w:styleId="694">
    <w:name w:val="Heading 3 Char"/>
    <w:basedOn w:val="719"/>
    <w:link w:val="712"/>
    <w:uiPriority w:val="9"/>
    <w:rPr>
      <w:rFonts w:ascii="Arial" w:hAnsi="Arial" w:eastAsia="Arial" w:cs="Arial"/>
      <w:sz w:val="30"/>
      <w:szCs w:val="30"/>
    </w:rPr>
  </w:style>
  <w:style w:type="character" w:styleId="695">
    <w:name w:val="Heading 4 Char"/>
    <w:basedOn w:val="719"/>
    <w:link w:val="713"/>
    <w:uiPriority w:val="9"/>
    <w:rPr>
      <w:rFonts w:ascii="Arial" w:hAnsi="Arial" w:eastAsia="Arial" w:cs="Arial"/>
      <w:b/>
      <w:bCs/>
      <w:sz w:val="26"/>
      <w:szCs w:val="26"/>
    </w:rPr>
  </w:style>
  <w:style w:type="character" w:styleId="696">
    <w:name w:val="Heading 5 Char"/>
    <w:basedOn w:val="719"/>
    <w:link w:val="714"/>
    <w:uiPriority w:val="9"/>
    <w:rPr>
      <w:rFonts w:ascii="Arial" w:hAnsi="Arial" w:eastAsia="Arial" w:cs="Arial"/>
      <w:b/>
      <w:bCs/>
      <w:sz w:val="24"/>
      <w:szCs w:val="24"/>
    </w:rPr>
  </w:style>
  <w:style w:type="character" w:styleId="697">
    <w:name w:val="Heading 6 Char"/>
    <w:basedOn w:val="719"/>
    <w:link w:val="715"/>
    <w:uiPriority w:val="9"/>
    <w:rPr>
      <w:rFonts w:ascii="Arial" w:hAnsi="Arial" w:eastAsia="Arial" w:cs="Arial"/>
      <w:b/>
      <w:bCs/>
      <w:sz w:val="22"/>
      <w:szCs w:val="22"/>
    </w:rPr>
  </w:style>
  <w:style w:type="character" w:styleId="698">
    <w:name w:val="Heading 7 Char"/>
    <w:basedOn w:val="719"/>
    <w:link w:val="71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9">
    <w:name w:val="Heading 8 Char"/>
    <w:basedOn w:val="719"/>
    <w:link w:val="717"/>
    <w:uiPriority w:val="9"/>
    <w:rPr>
      <w:rFonts w:ascii="Arial" w:hAnsi="Arial" w:eastAsia="Arial" w:cs="Arial"/>
      <w:i/>
      <w:iCs/>
      <w:sz w:val="22"/>
      <w:szCs w:val="22"/>
    </w:rPr>
  </w:style>
  <w:style w:type="character" w:styleId="700">
    <w:name w:val="Heading 9 Char"/>
    <w:basedOn w:val="719"/>
    <w:link w:val="718"/>
    <w:uiPriority w:val="9"/>
    <w:rPr>
      <w:rFonts w:ascii="Arial" w:hAnsi="Arial" w:eastAsia="Arial" w:cs="Arial"/>
      <w:i/>
      <w:iCs/>
      <w:sz w:val="21"/>
      <w:szCs w:val="21"/>
    </w:rPr>
  </w:style>
  <w:style w:type="character" w:styleId="701">
    <w:name w:val="Title Char"/>
    <w:basedOn w:val="719"/>
    <w:link w:val="733"/>
    <w:uiPriority w:val="10"/>
    <w:rPr>
      <w:sz w:val="48"/>
      <w:szCs w:val="48"/>
    </w:rPr>
  </w:style>
  <w:style w:type="character" w:styleId="702">
    <w:name w:val="Subtitle Char"/>
    <w:basedOn w:val="719"/>
    <w:link w:val="735"/>
    <w:uiPriority w:val="11"/>
    <w:rPr>
      <w:sz w:val="24"/>
      <w:szCs w:val="24"/>
    </w:rPr>
  </w:style>
  <w:style w:type="character" w:styleId="703">
    <w:name w:val="Quote Char"/>
    <w:link w:val="737"/>
    <w:uiPriority w:val="29"/>
    <w:rPr>
      <w:i/>
    </w:rPr>
  </w:style>
  <w:style w:type="character" w:styleId="704">
    <w:name w:val="Intense Quote Char"/>
    <w:link w:val="739"/>
    <w:uiPriority w:val="30"/>
    <w:rPr>
      <w:i/>
    </w:rPr>
  </w:style>
  <w:style w:type="character" w:styleId="705">
    <w:name w:val="Header Char"/>
    <w:basedOn w:val="719"/>
    <w:link w:val="741"/>
    <w:uiPriority w:val="99"/>
  </w:style>
  <w:style w:type="character" w:styleId="706">
    <w:name w:val="Caption Char"/>
    <w:basedOn w:val="745"/>
    <w:link w:val="743"/>
    <w:uiPriority w:val="99"/>
  </w:style>
  <w:style w:type="character" w:styleId="707">
    <w:name w:val="Footnote Text Char"/>
    <w:link w:val="874"/>
    <w:uiPriority w:val="99"/>
    <w:rPr>
      <w:sz w:val="18"/>
    </w:rPr>
  </w:style>
  <w:style w:type="character" w:styleId="708">
    <w:name w:val="Endnote Text Char"/>
    <w:link w:val="877"/>
    <w:uiPriority w:val="99"/>
    <w:rPr>
      <w:sz w:val="20"/>
    </w:rPr>
  </w:style>
  <w:style w:type="paragraph" w:styleId="709" w:default="1">
    <w:name w:val="Normal"/>
    <w:qFormat/>
    <w:rPr>
      <w:sz w:val="24"/>
      <w:szCs w:val="24"/>
      <w:lang w:eastAsia="ru-RU"/>
    </w:rPr>
  </w:style>
  <w:style w:type="paragraph" w:styleId="710">
    <w:name w:val="Heading 1"/>
    <w:basedOn w:val="709"/>
    <w:next w:val="709"/>
    <w:link w:val="722"/>
    <w:qFormat/>
    <w:pPr>
      <w:jc w:val="center"/>
      <w:keepNext/>
      <w:outlineLvl w:val="0"/>
    </w:pPr>
    <w:rPr>
      <w:b/>
      <w:sz w:val="32"/>
      <w:szCs w:val="20"/>
    </w:rPr>
  </w:style>
  <w:style w:type="paragraph" w:styleId="711">
    <w:name w:val="Heading 2"/>
    <w:basedOn w:val="709"/>
    <w:next w:val="709"/>
    <w:link w:val="723"/>
    <w:qFormat/>
    <w:pPr>
      <w:jc w:val="center"/>
      <w:keepNext/>
      <w:outlineLvl w:val="1"/>
    </w:pPr>
    <w:rPr>
      <w:sz w:val="36"/>
      <w:szCs w:val="20"/>
    </w:rPr>
  </w:style>
  <w:style w:type="paragraph" w:styleId="712">
    <w:name w:val="Heading 3"/>
    <w:basedOn w:val="709"/>
    <w:next w:val="709"/>
    <w:link w:val="72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13">
    <w:name w:val="Heading 4"/>
    <w:basedOn w:val="709"/>
    <w:next w:val="709"/>
    <w:link w:val="725"/>
    <w:qFormat/>
    <w:pPr>
      <w:jc w:val="center"/>
      <w:keepNext/>
      <w:outlineLvl w:val="3"/>
    </w:pPr>
    <w:rPr>
      <w:b/>
      <w:szCs w:val="20"/>
    </w:rPr>
  </w:style>
  <w:style w:type="paragraph" w:styleId="714">
    <w:name w:val="Heading 5"/>
    <w:basedOn w:val="709"/>
    <w:next w:val="709"/>
    <w:link w:val="72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15">
    <w:name w:val="Heading 6"/>
    <w:basedOn w:val="709"/>
    <w:next w:val="709"/>
    <w:link w:val="72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6">
    <w:name w:val="Heading 7"/>
    <w:basedOn w:val="709"/>
    <w:next w:val="709"/>
    <w:link w:val="72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7">
    <w:name w:val="Heading 8"/>
    <w:basedOn w:val="709"/>
    <w:next w:val="709"/>
    <w:link w:val="72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8">
    <w:name w:val="Heading 9"/>
    <w:basedOn w:val="709"/>
    <w:next w:val="709"/>
    <w:link w:val="7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9" w:default="1">
    <w:name w:val="Default Paragraph Font"/>
    <w:uiPriority w:val="1"/>
    <w:semiHidden/>
    <w:unhideWhenUsed/>
  </w:style>
  <w:style w:type="table" w:styleId="72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1" w:default="1">
    <w:name w:val="No List"/>
    <w:uiPriority w:val="99"/>
    <w:semiHidden/>
    <w:unhideWhenUsed/>
  </w:style>
  <w:style w:type="character" w:styleId="722" w:customStyle="1">
    <w:name w:val="Заголовок 1 Знак"/>
    <w:link w:val="710"/>
    <w:uiPriority w:val="9"/>
    <w:rPr>
      <w:rFonts w:ascii="Arial" w:hAnsi="Arial" w:eastAsia="Arial" w:cs="Arial"/>
      <w:sz w:val="40"/>
      <w:szCs w:val="40"/>
    </w:rPr>
  </w:style>
  <w:style w:type="character" w:styleId="723" w:customStyle="1">
    <w:name w:val="Заголовок 2 Знак"/>
    <w:link w:val="711"/>
    <w:uiPriority w:val="9"/>
    <w:rPr>
      <w:rFonts w:ascii="Arial" w:hAnsi="Arial" w:eastAsia="Arial" w:cs="Arial"/>
      <w:sz w:val="34"/>
    </w:rPr>
  </w:style>
  <w:style w:type="character" w:styleId="724" w:customStyle="1">
    <w:name w:val="Заголовок 3 Знак"/>
    <w:link w:val="712"/>
    <w:uiPriority w:val="9"/>
    <w:rPr>
      <w:rFonts w:ascii="Arial" w:hAnsi="Arial" w:eastAsia="Arial" w:cs="Arial"/>
      <w:sz w:val="30"/>
      <w:szCs w:val="30"/>
    </w:rPr>
  </w:style>
  <w:style w:type="character" w:styleId="725" w:customStyle="1">
    <w:name w:val="Заголовок 4 Знак"/>
    <w:link w:val="713"/>
    <w:uiPriority w:val="9"/>
    <w:rPr>
      <w:rFonts w:ascii="Arial" w:hAnsi="Arial" w:eastAsia="Arial" w:cs="Arial"/>
      <w:b/>
      <w:bCs/>
      <w:sz w:val="26"/>
      <w:szCs w:val="26"/>
    </w:rPr>
  </w:style>
  <w:style w:type="character" w:styleId="726" w:customStyle="1">
    <w:name w:val="Заголовок 5 Знак"/>
    <w:link w:val="714"/>
    <w:uiPriority w:val="9"/>
    <w:rPr>
      <w:rFonts w:ascii="Arial" w:hAnsi="Arial" w:eastAsia="Arial" w:cs="Arial"/>
      <w:b/>
      <w:bCs/>
      <w:sz w:val="24"/>
      <w:szCs w:val="24"/>
    </w:rPr>
  </w:style>
  <w:style w:type="character" w:styleId="727" w:customStyle="1">
    <w:name w:val="Заголовок 6 Знак"/>
    <w:link w:val="715"/>
    <w:uiPriority w:val="9"/>
    <w:rPr>
      <w:rFonts w:ascii="Arial" w:hAnsi="Arial" w:eastAsia="Arial" w:cs="Arial"/>
      <w:b/>
      <w:bCs/>
      <w:sz w:val="22"/>
      <w:szCs w:val="22"/>
    </w:rPr>
  </w:style>
  <w:style w:type="character" w:styleId="728" w:customStyle="1">
    <w:name w:val="Заголовок 7 Знак"/>
    <w:link w:val="71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9" w:customStyle="1">
    <w:name w:val="Заголовок 8 Знак"/>
    <w:link w:val="717"/>
    <w:uiPriority w:val="9"/>
    <w:rPr>
      <w:rFonts w:ascii="Arial" w:hAnsi="Arial" w:eastAsia="Arial" w:cs="Arial"/>
      <w:i/>
      <w:iCs/>
      <w:sz w:val="22"/>
      <w:szCs w:val="22"/>
    </w:rPr>
  </w:style>
  <w:style w:type="character" w:styleId="730" w:customStyle="1">
    <w:name w:val="Заголовок 9 Знак"/>
    <w:link w:val="718"/>
    <w:uiPriority w:val="9"/>
    <w:rPr>
      <w:rFonts w:ascii="Arial" w:hAnsi="Arial" w:eastAsia="Arial" w:cs="Arial"/>
      <w:i/>
      <w:iCs/>
      <w:sz w:val="21"/>
      <w:szCs w:val="21"/>
    </w:rPr>
  </w:style>
  <w:style w:type="paragraph" w:styleId="731">
    <w:name w:val="List Paragraph"/>
    <w:basedOn w:val="709"/>
    <w:uiPriority w:val="34"/>
    <w:qFormat/>
    <w:pPr>
      <w:contextualSpacing/>
      <w:ind w:left="720"/>
    </w:pPr>
  </w:style>
  <w:style w:type="paragraph" w:styleId="732">
    <w:name w:val="No Spacing"/>
    <w:uiPriority w:val="1"/>
    <w:qFormat/>
  </w:style>
  <w:style w:type="paragraph" w:styleId="733">
    <w:name w:val="Title"/>
    <w:basedOn w:val="709"/>
    <w:next w:val="709"/>
    <w:link w:val="7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4" w:customStyle="1">
    <w:name w:val="Название Знак"/>
    <w:link w:val="733"/>
    <w:uiPriority w:val="10"/>
    <w:rPr>
      <w:sz w:val="48"/>
      <w:szCs w:val="48"/>
    </w:rPr>
  </w:style>
  <w:style w:type="paragraph" w:styleId="735">
    <w:name w:val="Subtitle"/>
    <w:basedOn w:val="709"/>
    <w:next w:val="709"/>
    <w:link w:val="736"/>
    <w:uiPriority w:val="11"/>
    <w:qFormat/>
    <w:pPr>
      <w:spacing w:before="200" w:after="200"/>
    </w:pPr>
  </w:style>
  <w:style w:type="character" w:styleId="736" w:customStyle="1">
    <w:name w:val="Подзаголовок Знак"/>
    <w:link w:val="735"/>
    <w:uiPriority w:val="11"/>
    <w:rPr>
      <w:sz w:val="24"/>
      <w:szCs w:val="24"/>
    </w:rPr>
  </w:style>
  <w:style w:type="paragraph" w:styleId="737">
    <w:name w:val="Quote"/>
    <w:basedOn w:val="709"/>
    <w:next w:val="709"/>
    <w:link w:val="738"/>
    <w:uiPriority w:val="29"/>
    <w:qFormat/>
    <w:pPr>
      <w:ind w:left="720" w:right="720"/>
    </w:pPr>
    <w:rPr>
      <w:i/>
    </w:rPr>
  </w:style>
  <w:style w:type="character" w:styleId="738" w:customStyle="1">
    <w:name w:val="Цитата 2 Знак"/>
    <w:link w:val="737"/>
    <w:uiPriority w:val="29"/>
    <w:rPr>
      <w:i/>
    </w:rPr>
  </w:style>
  <w:style w:type="paragraph" w:styleId="739">
    <w:name w:val="Intense Quote"/>
    <w:basedOn w:val="709"/>
    <w:next w:val="709"/>
    <w:link w:val="74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0" w:customStyle="1">
    <w:name w:val="Выделенная цитата Знак"/>
    <w:link w:val="739"/>
    <w:uiPriority w:val="30"/>
    <w:rPr>
      <w:i/>
    </w:rPr>
  </w:style>
  <w:style w:type="paragraph" w:styleId="741">
    <w:name w:val="Header"/>
    <w:basedOn w:val="709"/>
    <w:link w:val="742"/>
    <w:pPr>
      <w:tabs>
        <w:tab w:val="center" w:pos="4153" w:leader="none"/>
        <w:tab w:val="right" w:pos="8306" w:leader="none"/>
      </w:tabs>
    </w:pPr>
    <w:rPr>
      <w:sz w:val="26"/>
      <w:szCs w:val="20"/>
    </w:rPr>
  </w:style>
  <w:style w:type="character" w:styleId="742" w:customStyle="1">
    <w:name w:val="Верхний колонтитул Знак"/>
    <w:link w:val="741"/>
    <w:uiPriority w:val="99"/>
  </w:style>
  <w:style w:type="paragraph" w:styleId="743">
    <w:name w:val="Footer"/>
    <w:basedOn w:val="709"/>
    <w:link w:val="746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44" w:customStyle="1">
    <w:name w:val="Footer Char"/>
    <w:uiPriority w:val="99"/>
  </w:style>
  <w:style w:type="paragraph" w:styleId="745">
    <w:name w:val="Caption"/>
    <w:basedOn w:val="709"/>
    <w:next w:val="709"/>
    <w:link w:val="70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6" w:customStyle="1">
    <w:name w:val="Нижний колонтитул Знак"/>
    <w:link w:val="743"/>
    <w:uiPriority w:val="99"/>
  </w:style>
  <w:style w:type="table" w:styleId="747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8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9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0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2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4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6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77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78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79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80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81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82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3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84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85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86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89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0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91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92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93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94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5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6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7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8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9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0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1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2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3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1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12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13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17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2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3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9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40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41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42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43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44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45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6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7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8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9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0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1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2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3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4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5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6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7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8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9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0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1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2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3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4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5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6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7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68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69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70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71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72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73">
    <w:name w:val="Hyperlink"/>
    <w:rPr>
      <w:color w:val="auto"/>
      <w:u w:val="none"/>
      <w:vertAlign w:val="baseline"/>
    </w:rPr>
  </w:style>
  <w:style w:type="paragraph" w:styleId="874">
    <w:name w:val="footnote text"/>
    <w:basedOn w:val="709"/>
    <w:link w:val="875"/>
    <w:uiPriority w:val="99"/>
    <w:semiHidden/>
    <w:unhideWhenUsed/>
    <w:pPr>
      <w:spacing w:after="40"/>
    </w:pPr>
    <w:rPr>
      <w:sz w:val="18"/>
    </w:rPr>
  </w:style>
  <w:style w:type="character" w:styleId="875" w:customStyle="1">
    <w:name w:val="Текст сноски Знак"/>
    <w:link w:val="874"/>
    <w:uiPriority w:val="99"/>
    <w:rPr>
      <w:sz w:val="18"/>
    </w:rPr>
  </w:style>
  <w:style w:type="character" w:styleId="876">
    <w:name w:val="footnote reference"/>
    <w:uiPriority w:val="99"/>
    <w:unhideWhenUsed/>
    <w:rPr>
      <w:vertAlign w:val="superscript"/>
    </w:rPr>
  </w:style>
  <w:style w:type="paragraph" w:styleId="877">
    <w:name w:val="endnote text"/>
    <w:basedOn w:val="709"/>
    <w:link w:val="878"/>
    <w:uiPriority w:val="99"/>
    <w:semiHidden/>
    <w:unhideWhenUsed/>
    <w:rPr>
      <w:sz w:val="20"/>
    </w:rPr>
  </w:style>
  <w:style w:type="character" w:styleId="878" w:customStyle="1">
    <w:name w:val="Текст концевой сноски Знак"/>
    <w:link w:val="877"/>
    <w:uiPriority w:val="99"/>
    <w:rPr>
      <w:sz w:val="20"/>
    </w:rPr>
  </w:style>
  <w:style w:type="character" w:styleId="879">
    <w:name w:val="endnote reference"/>
    <w:uiPriority w:val="99"/>
    <w:semiHidden/>
    <w:unhideWhenUsed/>
    <w:rPr>
      <w:vertAlign w:val="superscript"/>
    </w:rPr>
  </w:style>
  <w:style w:type="paragraph" w:styleId="880">
    <w:name w:val="toc 1"/>
    <w:basedOn w:val="709"/>
    <w:next w:val="709"/>
    <w:uiPriority w:val="39"/>
    <w:unhideWhenUsed/>
    <w:pPr>
      <w:spacing w:after="57"/>
    </w:pPr>
  </w:style>
  <w:style w:type="paragraph" w:styleId="881">
    <w:name w:val="toc 2"/>
    <w:basedOn w:val="709"/>
    <w:next w:val="709"/>
    <w:uiPriority w:val="39"/>
    <w:unhideWhenUsed/>
    <w:pPr>
      <w:ind w:left="283"/>
      <w:spacing w:after="57"/>
    </w:pPr>
  </w:style>
  <w:style w:type="paragraph" w:styleId="882">
    <w:name w:val="toc 3"/>
    <w:basedOn w:val="709"/>
    <w:next w:val="709"/>
    <w:uiPriority w:val="39"/>
    <w:unhideWhenUsed/>
    <w:pPr>
      <w:ind w:left="567"/>
      <w:spacing w:after="57"/>
    </w:pPr>
  </w:style>
  <w:style w:type="paragraph" w:styleId="883">
    <w:name w:val="toc 4"/>
    <w:basedOn w:val="709"/>
    <w:next w:val="709"/>
    <w:uiPriority w:val="39"/>
    <w:unhideWhenUsed/>
    <w:pPr>
      <w:ind w:left="850"/>
      <w:spacing w:after="57"/>
    </w:pPr>
  </w:style>
  <w:style w:type="paragraph" w:styleId="884">
    <w:name w:val="toc 5"/>
    <w:basedOn w:val="709"/>
    <w:next w:val="709"/>
    <w:uiPriority w:val="39"/>
    <w:unhideWhenUsed/>
    <w:pPr>
      <w:ind w:left="1134"/>
      <w:spacing w:after="57"/>
    </w:pPr>
  </w:style>
  <w:style w:type="paragraph" w:styleId="885">
    <w:name w:val="toc 6"/>
    <w:basedOn w:val="709"/>
    <w:next w:val="709"/>
    <w:uiPriority w:val="39"/>
    <w:unhideWhenUsed/>
    <w:pPr>
      <w:ind w:left="1417"/>
      <w:spacing w:after="57"/>
    </w:pPr>
  </w:style>
  <w:style w:type="paragraph" w:styleId="886">
    <w:name w:val="toc 7"/>
    <w:basedOn w:val="709"/>
    <w:next w:val="709"/>
    <w:uiPriority w:val="39"/>
    <w:unhideWhenUsed/>
    <w:pPr>
      <w:ind w:left="1701"/>
      <w:spacing w:after="57"/>
    </w:pPr>
  </w:style>
  <w:style w:type="paragraph" w:styleId="887">
    <w:name w:val="toc 8"/>
    <w:basedOn w:val="709"/>
    <w:next w:val="709"/>
    <w:uiPriority w:val="39"/>
    <w:unhideWhenUsed/>
    <w:pPr>
      <w:ind w:left="1984"/>
      <w:spacing w:after="57"/>
    </w:pPr>
  </w:style>
  <w:style w:type="paragraph" w:styleId="888">
    <w:name w:val="toc 9"/>
    <w:basedOn w:val="709"/>
    <w:next w:val="709"/>
    <w:uiPriority w:val="39"/>
    <w:unhideWhenUsed/>
    <w:pPr>
      <w:ind w:left="2268"/>
      <w:spacing w:after="57"/>
    </w:pPr>
  </w:style>
  <w:style w:type="paragraph" w:styleId="889">
    <w:name w:val="TOC Heading"/>
    <w:uiPriority w:val="39"/>
    <w:unhideWhenUsed/>
  </w:style>
  <w:style w:type="paragraph" w:styleId="890">
    <w:name w:val="table of figures"/>
    <w:basedOn w:val="709"/>
    <w:next w:val="709"/>
    <w:uiPriority w:val="99"/>
    <w:unhideWhenUsed/>
  </w:style>
  <w:style w:type="paragraph" w:styleId="891">
    <w:name w:val="Body Text Indent 2"/>
    <w:basedOn w:val="709"/>
    <w:link w:val="896"/>
    <w:pPr>
      <w:ind w:firstLine="540"/>
      <w:jc w:val="both"/>
      <w:spacing w:line="360" w:lineRule="auto"/>
    </w:pPr>
  </w:style>
  <w:style w:type="paragraph" w:styleId="892">
    <w:name w:val="Body Text Indent"/>
    <w:basedOn w:val="709"/>
    <w:pPr>
      <w:ind w:left="283"/>
      <w:spacing w:after="120"/>
    </w:pPr>
  </w:style>
  <w:style w:type="character" w:styleId="893">
    <w:name w:val="page number"/>
    <w:basedOn w:val="719"/>
  </w:style>
  <w:style w:type="paragraph" w:styleId="894">
    <w:name w:val="Balloon Text"/>
    <w:basedOn w:val="709"/>
    <w:semiHidden/>
    <w:rPr>
      <w:rFonts w:ascii="Tahoma" w:hAnsi="Tahoma" w:cs="Tahoma"/>
      <w:sz w:val="16"/>
      <w:szCs w:val="16"/>
    </w:rPr>
  </w:style>
  <w:style w:type="paragraph" w:styleId="895" w:customStyle="1">
    <w:name w:val="Знак"/>
    <w:basedOn w:val="709"/>
    <w:pPr>
      <w:spacing w:after="160" w:line="240" w:lineRule="exact"/>
    </w:pPr>
    <w:rPr>
      <w:rFonts w:ascii="Verdana" w:hAnsi="Verdana"/>
      <w:lang w:val="en-US" w:eastAsia="en-US"/>
    </w:rPr>
  </w:style>
  <w:style w:type="character" w:styleId="896" w:customStyle="1">
    <w:name w:val="Основной текст с отступом 2 Знак"/>
    <w:link w:val="891"/>
    <w:rPr>
      <w:sz w:val="24"/>
      <w:szCs w:val="24"/>
    </w:rPr>
  </w:style>
  <w:style w:type="paragraph" w:styleId="897" w:customStyle="1">
    <w:name w:val="Default"/>
    <w:rPr>
      <w:color w:val="000000"/>
      <w:sz w:val="24"/>
      <w:szCs w:val="24"/>
      <w:lang w:eastAsia="ru-RU"/>
    </w:rPr>
  </w:style>
  <w:style w:type="character" w:styleId="898" w:customStyle="1">
    <w:name w:val="Font Style17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yperlink" Target="mailto:admartm@mail.primorye.ru" TargetMode="External"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>КУМИ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Mashukova</cp:lastModifiedBy>
  <cp:revision>12</cp:revision>
  <dcterms:created xsi:type="dcterms:W3CDTF">2023-05-24T22:59:00Z</dcterms:created>
  <dcterms:modified xsi:type="dcterms:W3CDTF">2025-11-11T08:38:25Z</dcterms:modified>
  <cp:version>983040</cp:version>
</cp:coreProperties>
</file>